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98379" w14:textId="77777777" w:rsidR="00F9486D" w:rsidRDefault="00F9486D" w:rsidP="00F9486D">
      <w:pPr>
        <w:shd w:val="clear" w:color="auto" w:fill="20A0C6"/>
        <w:tabs>
          <w:tab w:val="left" w:pos="800"/>
        </w:tabs>
        <w:autoSpaceDE/>
        <w:snapToGrid w:val="0"/>
        <w:spacing w:beforeLines="50" w:before="156" w:afterLines="50" w:after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 xml:space="preserve">CIGB-500. </w:t>
      </w:r>
      <w:r>
        <w:rPr>
          <w:rFonts w:ascii="Times New Roman" w:hAnsi="宋体" w:cs="Times New Roman" w:hint="eastAsia"/>
          <w:b/>
          <w:color w:val="FFFFFF"/>
          <w:sz w:val="24"/>
          <w:szCs w:val="24"/>
          <w:lang w:val="zh-CN"/>
        </w:rPr>
        <w:t>有心脏细胞保护作用的肽</w:t>
      </w:r>
    </w:p>
    <w:p w14:paraId="62759B7C" w14:textId="77777777" w:rsidR="00F9486D" w:rsidRDefault="00F9486D" w:rsidP="00F9486D">
      <w:pPr>
        <w:shd w:val="clear" w:color="auto" w:fill="FFFFFF"/>
        <w:tabs>
          <w:tab w:val="left" w:pos="800"/>
        </w:tabs>
        <w:autoSpaceDE/>
        <w:snapToGrid w:val="0"/>
        <w:spacing w:beforeLines="50" w:before="156" w:afterLines="50" w:after="156"/>
        <w:jc w:val="both"/>
        <w:rPr>
          <w:rFonts w:ascii="Times New Roman" w:hAnsi="Times New Roman" w:cs="Times New Roman"/>
          <w:b/>
          <w:noProof/>
          <w:color w:val="0586C0"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color w:val="0586C0"/>
          <w:sz w:val="24"/>
          <w:szCs w:val="24"/>
        </w:rPr>
        <w:t>基因工程与生物技术中心，古巴，哈瓦那</w:t>
      </w:r>
      <w:r>
        <w:rPr>
          <w:rStyle w:val="tw4winMark"/>
          <w:rFonts w:ascii="Times New Roman" w:hAnsi="Times New Roman" w:cs="Times New Roman"/>
          <w:szCs w:val="24"/>
          <w:specVanish w:val="0"/>
        </w:rPr>
        <w:br/>
      </w:r>
      <w:r>
        <w:rPr>
          <w:rFonts w:ascii="Times New Roman" w:hAnsi="宋体" w:cs="Times New Roman" w:hint="eastAsia"/>
          <w:b/>
          <w:color w:val="0586C0"/>
          <w:sz w:val="24"/>
          <w:szCs w:val="24"/>
          <w:lang w:val="zh-CN"/>
        </w:rPr>
        <w:t>治疗领域</w:t>
      </w:r>
      <w:r>
        <w:rPr>
          <w:rFonts w:ascii="Times New Roman" w:hAnsi="宋体" w:cs="Times New Roman" w:hint="eastAsia"/>
          <w:b/>
          <w:color w:val="0586C0"/>
          <w:sz w:val="24"/>
          <w:szCs w:val="24"/>
        </w:rPr>
        <w:t>：</w:t>
      </w:r>
      <w:r>
        <w:rPr>
          <w:rFonts w:ascii="Times New Roman" w:hAnsi="宋体" w:cs="Times New Roman" w:hint="eastAsia"/>
          <w:b/>
          <w:color w:val="0586C0"/>
          <w:sz w:val="24"/>
          <w:szCs w:val="24"/>
          <w:lang w:val="zh-CN"/>
        </w:rPr>
        <w:t>心脏病学</w:t>
      </w:r>
      <w:r>
        <w:rPr>
          <w:rFonts w:ascii="Times New Roman" w:hAnsi="Times New Roman" w:cs="Times New Roman"/>
          <w:b/>
          <w:color w:val="0586C0"/>
          <w:sz w:val="24"/>
          <w:szCs w:val="24"/>
        </w:rPr>
        <w:br/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00"/>
      </w:tblGrid>
      <w:tr w:rsidR="00F9486D" w14:paraId="6BA1665C" w14:textId="77777777" w:rsidTr="0097719D">
        <w:tc>
          <w:tcPr>
            <w:tcW w:w="5000" w:type="pct"/>
            <w:tcBorders>
              <w:top w:val="nil"/>
              <w:left w:val="nil"/>
              <w:bottom w:val="single" w:sz="12" w:space="0" w:color="24A0D9"/>
              <w:right w:val="nil"/>
            </w:tcBorders>
            <w:shd w:val="clear" w:color="auto" w:fill="FFFFFF"/>
            <w:hideMark/>
          </w:tcPr>
          <w:p w14:paraId="54DADEC7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目标</w:t>
            </w:r>
          </w:p>
        </w:tc>
      </w:tr>
      <w:tr w:rsidR="00F9486D" w14:paraId="3D00FD03" w14:textId="77777777" w:rsidTr="0097719D">
        <w:tc>
          <w:tcPr>
            <w:tcW w:w="5000" w:type="pct"/>
            <w:tcBorders>
              <w:top w:val="single" w:sz="12" w:space="0" w:color="24A0D9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E0D11B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</w:rPr>
              <w:t>对此药物的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分子药理学进行进一步特性研究，以将其作为心脏保护剂和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CN"/>
              </w:rPr>
              <w:t>/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或心脏修复剂进行临床应用。</w:t>
            </w:r>
          </w:p>
          <w:p w14:paraId="30C2D20D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商业建议：</w:t>
            </w:r>
            <w:bookmarkStart w:id="0" w:name="OLE_LINK39"/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寻求建立合作关系，项目进行对外许可和联合开发。</w:t>
            </w:r>
            <w:bookmarkEnd w:id="0"/>
          </w:p>
        </w:tc>
      </w:tr>
      <w:tr w:rsidR="00F9486D" w14:paraId="4AFC8738" w14:textId="77777777" w:rsidTr="0097719D">
        <w:tc>
          <w:tcPr>
            <w:tcW w:w="5000" w:type="pct"/>
            <w:tcBorders>
              <w:top w:val="nil"/>
              <w:left w:val="nil"/>
              <w:bottom w:val="single" w:sz="12" w:space="0" w:color="24A0D9"/>
              <w:right w:val="nil"/>
            </w:tcBorders>
            <w:shd w:val="clear" w:color="auto" w:fill="FFFFFF"/>
            <w:hideMark/>
          </w:tcPr>
          <w:p w14:paraId="69F73015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说明</w:t>
            </w:r>
          </w:p>
        </w:tc>
      </w:tr>
      <w:tr w:rsidR="00F9486D" w14:paraId="567FA6BD" w14:textId="77777777" w:rsidTr="0097719D">
        <w:tc>
          <w:tcPr>
            <w:tcW w:w="5000" w:type="pct"/>
            <w:tcBorders>
              <w:top w:val="single" w:sz="12" w:space="0" w:color="24A0D9"/>
              <w:left w:val="nil"/>
              <w:bottom w:val="nil"/>
              <w:right w:val="nil"/>
            </w:tcBorders>
            <w:shd w:val="clear" w:color="auto" w:fill="FFFFFF"/>
          </w:tcPr>
          <w:p w14:paraId="54DC5745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CIGB-500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是安全性很好的六合氨基酸肽。它是合成多肽的异类组，在下丘脑和脑垂体的特定的</w:t>
            </w:r>
            <w:r>
              <w:rPr>
                <w:rFonts w:ascii="Times New Roman" w:hAnsi="宋体" w:cs="Times New Roman"/>
                <w:color w:val="000000"/>
                <w:sz w:val="24"/>
                <w:szCs w:val="24"/>
                <w:lang w:val="zh-CN"/>
              </w:rPr>
              <w:t>G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蛋白耦合受体上，合成多肽具有强有力的促生长激素分泌作用。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 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和其他同源介质激起的药理作用可激活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蛋白偶联受体和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CD-36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。</w:t>
            </w:r>
          </w:p>
          <w:p w14:paraId="240CC96F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本组人员进行的不同实验表明，单次预处理或多次进行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CN"/>
              </w:rPr>
              <w:t>CIGB-500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给药可增强细胞保护，避免一个或多个器官死亡。在肝局部缺血研究中，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CN"/>
              </w:rPr>
              <w:t>CIGB-500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能防止肝细胞死亡，并将安慰剂非大面积坏死模式转化为肝细胞的个体模式，在猪急性心肌梗死模型中，与未经处理的猪相比，细胞坏死率降低了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CN"/>
              </w:rPr>
              <w:t>70%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以上。在进一步的心肌病研究模型中，与多柔比星同时用药时，</w:t>
            </w:r>
            <w:r>
              <w:rPr>
                <w:rFonts w:ascii="Times New Roman" w:hAnsi="宋体" w:cs="Times New Roman"/>
                <w:color w:val="000000"/>
                <w:sz w:val="24"/>
                <w:szCs w:val="24"/>
                <w:lang w:val="zh-CN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CN"/>
              </w:rPr>
              <w:t>IGB-500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能防止心脏衰竭和其他有毒的全身并发症。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CN"/>
              </w:rPr>
              <w:t>CIGB-500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在治疗给药剂量下可恢复心肌损害和衰竭。</w:t>
            </w:r>
          </w:p>
          <w:p w14:paraId="19987939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</w:rPr>
              <w:t>为对其细胞保护作用进行概念上的验证，证明其是否可降低因多个器官衰竭引起的死亡，我们通过啮齿类动物模型进行了预防性给药和前处理两种试验。</w:t>
            </w:r>
          </w:p>
          <w:p w14:paraId="096F47A4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center"/>
              <w:rPr>
                <w:rFonts w:ascii="Times New Roman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0B32CF" wp14:editId="19A8EF7E">
                  <wp:extent cx="2889250" cy="1885950"/>
                  <wp:effectExtent l="0" t="0" r="635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C2072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</w:rPr>
              <w:t>图</w:t>
            </w:r>
            <w:r>
              <w:rPr>
                <w:rFonts w:ascii="Times New Roman" w:hAnsi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Calibri,Italic" w:hAnsi="Calibri,Italic" w:cs="Calibri,Italic"/>
                <w:i/>
                <w:iCs/>
              </w:rPr>
              <w:t>Kaplan-Meier</w:t>
            </w:r>
            <w:r>
              <w:rPr>
                <w:rFonts w:ascii="Calibri,Italic" w:hAnsi="Calibri,Italic" w:cs="Calibri,Italic" w:hint="eastAsia"/>
                <w:i/>
                <w:iCs/>
              </w:rPr>
              <w:t>存活分析</w:t>
            </w:r>
          </w:p>
          <w:p w14:paraId="0B155BEE" w14:textId="77777777" w:rsidR="00F9486D" w:rsidRDefault="00F9486D" w:rsidP="0097719D">
            <w:pPr>
              <w:rPr>
                <w:rFonts w:ascii="Calibri,Bold" w:hAnsi="Calibri,Bold" w:cs="Calibri,Bold"/>
                <w:b/>
                <w:bCs/>
              </w:rPr>
            </w:pPr>
          </w:p>
          <w:p w14:paraId="4D747ADF" w14:textId="77777777" w:rsidR="00F9486D" w:rsidRDefault="00F9486D" w:rsidP="0097719D">
            <w:pPr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2. 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</w:rPr>
              <w:t>在急性心梗的猪模型上，</w:t>
            </w:r>
            <w:r>
              <w:rPr>
                <w:rFonts w:ascii="Times New Roman" w:hAnsi="宋体" w:cs="Times New Roman"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</w:rPr>
              <w:t>可降低因局部缺血</w:t>
            </w:r>
            <w:r>
              <w:rPr>
                <w:rFonts w:ascii="Times New Roman" w:hAnsi="宋体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</w:rPr>
              <w:t>再灌注引起的细胞坏死。</w:t>
            </w:r>
          </w:p>
          <w:p w14:paraId="089AACCF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center"/>
              <w:rPr>
                <w:rFonts w:ascii="Times New Roman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00F86269" wp14:editId="53E3FB02">
                  <wp:extent cx="1441450" cy="1822450"/>
                  <wp:effectExtent l="0" t="0" r="6350" b="635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434FA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：注射生理盐水和接受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给药治疗的两组心脏宏观和微观图像。</w:t>
            </w:r>
          </w:p>
          <w:p w14:paraId="3DD12201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1B124945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通过小鼠动物模型进行研究证明，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可预防或逆转多柔比星诱导的扩张型心肌病。</w:t>
            </w:r>
          </w:p>
          <w:p w14:paraId="2791ABCB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2163A7" wp14:editId="57F8E07F">
                  <wp:extent cx="6115050" cy="4165600"/>
                  <wp:effectExtent l="0" t="0" r="0" b="635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8486A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的主要生物活性总结如下：</w:t>
            </w:r>
          </w:p>
          <w:p w14:paraId="137ED0CB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影响肌肉收缩：通过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PLC/DAG/PKC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，由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Ca2+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升高产生的作用。通过钙离子通道激起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Ca2+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从对毒胡萝卜素敏感的细胞内释放。转化成积极的肌肉收缩，并不产生心率的变时性作用。</w:t>
            </w:r>
          </w:p>
          <w:p w14:paraId="031CBDC3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抗纤维化：根据我们的数据，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可上调过氧化物酶体增殖物激活受体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gamma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，转化生长因子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beta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，结缔组织生长因子，并下调血小板源性生长因子。</w:t>
            </w:r>
          </w:p>
          <w:p w14:paraId="00A8964B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抗炎：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NF.kB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表达并激活，紧接着发生下游促炎性串联。减少活性氧、中性内肽酶，激活超氧化物歧化酶表达和活性。</w:t>
            </w:r>
          </w:p>
          <w:p w14:paraId="5E9A746B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保护细胞：涉及磷脂酰肌糖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激酶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蛋白激酶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B(PI-3K/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蛋白激酶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，蛋白激酶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通道，在缺氧诱导因子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alpha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的诱导下，可保护细胞。</w:t>
            </w:r>
          </w:p>
          <w:p w14:paraId="66710E0C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保护心脏：涉及多个生物作用，可增强心肌细胞的存活。并降低活性氧和中性内肽酶的细胞毒性，减少神经激素。</w:t>
            </w:r>
          </w:p>
          <w:p w14:paraId="1A34BFA6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舒张血管：可降低内皮素活性，并上调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e-NOS</w:t>
            </w:r>
          </w:p>
          <w:p w14:paraId="74A8FC3F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11E1FEE4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在急性心梗方面的功效可总结如下：</w:t>
            </w:r>
          </w:p>
          <w:p w14:paraId="25FC2A00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其可显著的降低由不同的靶点造成的病理生理损伤。</w:t>
            </w:r>
          </w:p>
          <w:p w14:paraId="55E40C2E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C95875" wp14:editId="24533EB2">
                  <wp:extent cx="6115050" cy="3937000"/>
                  <wp:effectExtent l="0" t="0" r="0" b="635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93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413CF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1F68B089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0E49446D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在健康的小鼠身上对新陈代谢的影响。</w:t>
            </w:r>
          </w:p>
          <w:p w14:paraId="2BD2B61B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对健康的临床受试者进行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给药，进行研究的总结：</w:t>
            </w:r>
          </w:p>
          <w:p w14:paraId="4DA0FF9A" w14:textId="77777777" w:rsidR="00F9486D" w:rsidRDefault="00F9486D" w:rsidP="00F948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很长时间以前就被证明是安全的。成功放大之后的规模也是安全的。</w:t>
            </w:r>
          </w:p>
          <w:p w14:paraId="347A8FF6" w14:textId="77777777" w:rsidR="00F9486D" w:rsidRDefault="00F9486D" w:rsidP="00F948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共有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66.7%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的受试者出现了中等的不良反应（出汗和自动缓解的心动过缓症状）。</w:t>
            </w:r>
          </w:p>
          <w:p w14:paraId="5CF1A21D" w14:textId="77777777" w:rsidR="00F9486D" w:rsidRDefault="00F9486D" w:rsidP="00F948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在二级缓慢相之后的快速生物分布相中，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出现了两相血浆浓度。药时曲线下面积的增加与剂量有关。</w:t>
            </w:r>
          </w:p>
          <w:p w14:paraId="3CE512E5" w14:textId="77777777" w:rsidR="00F9486D" w:rsidRDefault="00F9486D" w:rsidP="00F948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CIGB500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的给药并不影响氧化还原体系的体内平衡，并可暂时刺激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GH / IGF-I / IGFBP3.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的释放。</w:t>
            </w:r>
          </w:p>
          <w:p w14:paraId="3B12A54C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555C20BC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中心目前正在进行通过急性心梗病人进行第一期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第二期临床试验。临床试验目的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）降低心梗的进一步发展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）降低急性心梗发病率，包括复发。（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）防止心室重构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）减少急性机械性心衰竭。</w:t>
            </w:r>
          </w:p>
          <w:p w14:paraId="4A60BB1E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7BF73A2C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宋体" w:cs="Times New Roman"/>
                <w:color w:val="000000"/>
                <w:sz w:val="24"/>
                <w:szCs w:val="24"/>
              </w:rPr>
            </w:pPr>
          </w:p>
        </w:tc>
      </w:tr>
      <w:tr w:rsidR="00F9486D" w14:paraId="19E27577" w14:textId="77777777" w:rsidTr="0097719D">
        <w:tc>
          <w:tcPr>
            <w:tcW w:w="5000" w:type="pct"/>
            <w:tcBorders>
              <w:top w:val="nil"/>
              <w:left w:val="nil"/>
              <w:bottom w:val="single" w:sz="12" w:space="0" w:color="24A0D9"/>
              <w:right w:val="nil"/>
            </w:tcBorders>
            <w:shd w:val="clear" w:color="auto" w:fill="FFFFFF"/>
            <w:hideMark/>
          </w:tcPr>
          <w:p w14:paraId="7A2C8B21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lastRenderedPageBreak/>
              <w:t>专利状况</w:t>
            </w:r>
          </w:p>
        </w:tc>
      </w:tr>
      <w:tr w:rsidR="00F9486D" w14:paraId="026F160C" w14:textId="77777777" w:rsidTr="0097719D">
        <w:tc>
          <w:tcPr>
            <w:tcW w:w="5000" w:type="pct"/>
            <w:tcBorders>
              <w:top w:val="single" w:sz="12" w:space="0" w:color="24A0D9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10F1A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药物联合治疗因动脉灌溉缺陷引起的组织损伤。美国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7361638. 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欧洲</w:t>
            </w:r>
            <w:r>
              <w:rPr>
                <w:rFonts w:ascii="Times New Roman" w:hAnsi="宋体" w:cs="Times New Roman" w:hint="eastAsia"/>
                <w:color w:val="000000"/>
                <w:sz w:val="24"/>
                <w:szCs w:val="24"/>
                <w:lang w:val="zh-CN"/>
              </w:rPr>
              <w:t>：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1 354 597 B1</w:t>
            </w:r>
          </w:p>
          <w:p w14:paraId="4C6D2D1D" w14:textId="77777777" w:rsidR="00F9486D" w:rsidRDefault="00F9486D" w:rsidP="0097719D">
            <w:pPr>
              <w:shd w:val="clear" w:color="auto" w:fill="FFFFFF"/>
              <w:tabs>
                <w:tab w:val="left" w:pos="800"/>
              </w:tabs>
              <w:autoSpaceDE/>
              <w:snapToGrid w:val="0"/>
              <w:spacing w:beforeLines="50" w:before="156" w:afterLines="50" w:after="15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 w:hint="eastAsia"/>
                <w:b/>
                <w:bCs/>
              </w:rPr>
              <w:t>发表的学术论文</w:t>
            </w:r>
          </w:p>
          <w:p w14:paraId="1368951E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1. Cibrian D. et al. 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通过使用激素生长释放肽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-6 (GHRP-6) 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来预防多个器官的衰竭。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《临床科学》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(2006) 110, 563–573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。</w:t>
            </w:r>
          </w:p>
          <w:p w14:paraId="2E2D62BC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2. Berlanga J. et al.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通过急性心梗模型使用激素生长释放肽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-6 (GHRP-6) 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来预防氧化的细胞毒性并降低心肌坏死，临床科学》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(2006) 110, 563–573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。</w:t>
            </w:r>
          </w:p>
          <w:p w14:paraId="1E31A10A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3. Cibrian D. et al. 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激素生长释放肽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-6 (GHRP-6)</w:t>
            </w:r>
            <w:r>
              <w:rPr>
                <w:rFonts w:ascii="Times New Roman" w:hAnsi="Times New Roman" w:cs="Times New Roman" w:hint="eastAsia"/>
                <w:noProof/>
                <w:color w:val="000000"/>
                <w:sz w:val="24"/>
                <w:szCs w:val="24"/>
              </w:rPr>
              <w:t>的心细胞心外细胞保护作用。</w:t>
            </w:r>
          </w:p>
          <w:p w14:paraId="70FBAED5" w14:textId="77777777" w:rsidR="00F9486D" w:rsidRDefault="00F9486D" w:rsidP="0097719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4. VALIENTE, Juan, GARCÍA DEL BARCO, Diana, GUILLÉN, Gerardo, SANTANA, Héctor et al.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s-ES"/>
              </w:rPr>
              <w:t>Efecto cardiotropico del GHRP-6: caracterización mediante ecocardiografia in vivo. Biotecnol Apl, oct.-dic. 2013, vol.30, no.4, p.280-284. ISSN 1027-2852.</w:t>
            </w:r>
          </w:p>
        </w:tc>
      </w:tr>
    </w:tbl>
    <w:p w14:paraId="7AAD76CA" w14:textId="77777777" w:rsidR="004C73CB" w:rsidRDefault="004C73CB">
      <w:bookmarkStart w:id="1" w:name="_GoBack"/>
      <w:bookmarkEnd w:id="1"/>
    </w:p>
    <w:sectPr w:rsidR="004C73CB" w:rsidSect="00D534D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705B"/>
    <w:multiLevelType w:val="hybridMultilevel"/>
    <w:tmpl w:val="A844EA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D"/>
    <w:rsid w:val="004C73CB"/>
    <w:rsid w:val="00D534DD"/>
    <w:rsid w:val="00F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2E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6D"/>
    <w:pPr>
      <w:widowControl w:val="0"/>
      <w:autoSpaceDE w:val="0"/>
      <w:autoSpaceDN w:val="0"/>
      <w:adjustRightInd w:val="0"/>
    </w:pPr>
    <w:rPr>
      <w:rFonts w:ascii="Arial" w:eastAsia="宋体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w4winMark">
    <w:name w:val="tw4winMark"/>
    <w:rsid w:val="00F9486D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1722</Characters>
  <Application>Microsoft Macintosh Word</Application>
  <DocSecurity>0</DocSecurity>
  <Lines>14</Lines>
  <Paragraphs>4</Paragraphs>
  <ScaleCrop>false</ScaleCrop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2016-11-09T08:00:00Z</dcterms:created>
  <dcterms:modified xsi:type="dcterms:W3CDTF">2016-11-09T08:00:00Z</dcterms:modified>
</cp:coreProperties>
</file>